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CN-0247 · Property</w:t>
      </w:r>
    </w:p>
    <w:p>
      <w:pPr>
        <w:pStyle w:val="Title"/>
      </w:pPr>
      <w:r>
        <w:t xml:space="preserve">Benami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held in one person’s name and paid for by another, the prohibition, and the exceptions for family and fiduciaries.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Prohibition of Benami Property Transactions Act, 1988, §§ 2(9),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https://fpr.iura.in/concepts/benami-transaction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