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CN-0491 · Criminal</w:t>
      </w:r>
    </w:p>
    <w:p>
      <w:pPr>
        <w:pStyle w:val="Title"/>
      </w:pPr>
      <w:r>
        <w:t xml:space="preserve">Bigamy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Marrying again while a spouse is living, and the need to prove that both marriages were validly solemnised.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494 (now Bharatiya Nyaya Sanhita, 2023, § 82)</w:t>
      </w:r>
    </w:p>
    <w:p>
      <w:pPr>
        <w:pStyle w:val="Bullet"/>
      </w:pPr>
      <w:r>
        <w:t xml:space="preserve">•  Bhaurao Shankar Lokhande v. State of Maharashtra, AIR 1965 SC 1564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https://fpr.iura.in/concepts/bigamy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