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CN-0202 · Contract</w:t>
      </w:r>
    </w:p>
    <w:p>
      <w:pPr>
        <w:pStyle w:val="Title"/>
      </w:pPr>
      <w:r>
        <w:t xml:space="preserve">Capacity to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is competent to contract, why a minor’s agreement is void and not merely voidable, and what can be recovered from a minor.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10–12</w:t>
      </w:r>
    </w:p>
    <w:p>
      <w:pPr>
        <w:pStyle w:val="Bullet"/>
      </w:pPr>
      <w:r>
        <w:t xml:space="preserve">•  Mohori Bibee v. Dharmodas Ghose, (1903) 30 IA 114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https://fpr.iura.in/concepts/capacity-to-contract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