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CN-0717 · Environment</w:t>
      </w:r>
    </w:p>
    <w:p>
      <w:pPr>
        <w:pStyle w:val="Title"/>
      </w:pPr>
      <w:r>
        <w:t xml:space="preserve">Carbon Credit Trading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domestic carbon market set up under the 2022 amendment to the energy conservation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Energy Conservation (Amendment) Act, 2022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https://fpr.iura.in/concepts/carbon-credit-trading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