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CN-0047 · Competition</w:t>
      </w:r>
    </w:p>
    <w:p>
      <w:pPr>
        <w:pStyle w:val="Title"/>
      </w:pPr>
      <w:r>
        <w:t xml:space="preserve">Cartel</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Agreements among competitors to fix prices, limit output or share markets, the presumption of harm, and proof by circumstantial evidence.</w:t>
      </w:r>
    </w:p>
    <w:p>
      <w:pPr>
        <w:pStyle w:val="Guidance"/>
      </w:pPr>
      <w:r>
        <w:t xml:space="preserve">Authorities to start from. These are places to begin, listed by the editors. Read each one in the original and check the citation before you rely on it.</w:t>
      </w:r>
    </w:p>
    <w:p>
      <w:pPr>
        <w:pStyle w:val="Bullet"/>
      </w:pPr>
      <w:r>
        <w:t xml:space="preserve">•  Competition Act, 2002, §§ 2(c), 3(3)</w:t>
      </w:r>
    </w:p>
    <w:p>
      <w:pPr>
        <w:pStyle w:val="Bullet"/>
      </w:pPr>
      <w:r>
        <w:t xml:space="preserve">•  Rajasthan Cylinders &amp; Containers Ltd. v. Union of India, (2020) 16 SCC 615</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https://fpr.iura.in/concepts/cartel</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