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CN-0337 · Tax</w:t>
      </w:r>
    </w:p>
    <w:p>
      <w:pPr>
        <w:pStyle w:val="Title"/>
      </w:pPr>
      <w:r>
        <w:t xml:space="preserve">Cess and Surcharge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Levies added to a tax for a stated purpose or for the Union alone, and why they are not shared with the States.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270, 271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https://fpr.iura.in/concepts/cess-and-surcharge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