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CN-0152 · Criminal</w:t>
      </w:r>
    </w:p>
    <w:p>
      <w:pPr>
        <w:pStyle w:val="Title"/>
      </w:pPr>
      <w:r>
        <w:t xml:space="preserve">Child in Conflict with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person under eighteen alleged to have committed an offence, the date on which age is reckoned, and the separate process that applies.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Juvenile Justice (Care and Protection of Children) Act, 2015, §§ 2(12), 2(13)</w:t>
      </w:r>
    </w:p>
    <w:p>
      <w:pPr>
        <w:pStyle w:val="Bullet"/>
      </w:pPr>
      <w:r>
        <w:t xml:space="preserve">•  Pratap Singh v. State of Jharkhand, (2005) 3 SCC 551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https://fpr.iura.in/concepts/child-in-conflict-with-law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