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CN-0350 · Labour</w:t>
      </w:r>
    </w:p>
    <w:p>
      <w:pPr>
        <w:pStyle w:val="Title"/>
      </w:pPr>
      <w:r>
        <w:t xml:space="preserve">Child Labour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constitutional ban on employing children in hazardous work, the statutory prohibition, and the scheme the Supreme Court ordered.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24</w:t>
      </w:r>
    </w:p>
    <w:p>
      <w:pPr>
        <w:pStyle w:val="Bullet"/>
      </w:pPr>
      <w:r>
        <w:t xml:space="preserve">•  Child and Adolescent Labour (Prohibition and Regulation) Act, 1986</w:t>
      </w:r>
    </w:p>
    <w:p>
      <w:pPr>
        <w:pStyle w:val="Bullet"/>
      </w:pPr>
      <w:r>
        <w:t xml:space="preserve">•  M.C. Mehta v. State of T.N., (1996) 6 SCC 756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https://fpr.iura.in/concepts/child-labour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