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CN-0170 · Evidence</w:t>
      </w:r>
    </w:p>
    <w:p>
      <w:pPr>
        <w:pStyle w:val="Title"/>
      </w:pPr>
      <w:r>
        <w:t xml:space="preserve">Child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a child is competent to testify, how the court satisfies itself of that, and the caution with which the evidence is read.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118 (now Bharatiya Sakshya Adhiniyam, 2023, § 124)</w:t>
      </w:r>
    </w:p>
    <w:p>
      <w:pPr>
        <w:pStyle w:val="Bullet"/>
      </w:pPr>
      <w:r>
        <w:t xml:space="preserve">•  Dattu Ramrao Sakhare v. State of Maharashtra, (1997) 5 SCC 341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https://fpr.iura.in/concepts/child-witness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