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CN-0126 · Administrative</w:t>
      </w:r>
    </w:p>
    <w:p>
      <w:pPr>
        <w:pStyle w:val="Title"/>
      </w:pPr>
      <w:r>
        <w:t xml:space="preserve">Civil Post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government employees have the protection of Article 311, and what dismissal, removal and reduction in rank mean.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311</w:t>
      </w:r>
    </w:p>
    <w:p>
      <w:pPr>
        <w:pStyle w:val="Bullet"/>
      </w:pPr>
      <w:r>
        <w:t xml:space="preserve">•  State of Assam v. Kanak Chandra Dutta, AIR 1967 SC 884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https://fpr.iura.in/concepts/civil-post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