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CN-0381 · Environment</w:t>
      </w:r>
    </w:p>
    <w:p>
      <w:pPr>
        <w:pStyle w:val="Title"/>
      </w:pPr>
      <w:r>
        <w:t xml:space="preserve">Coastal Regulation Zone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strip of coast in which construction and industry are restricted, its categories, and how the rules have been relaxed.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Coastal Regulation Zone Notification, 2019</w:t>
      </w:r>
    </w:p>
    <w:p>
      <w:pPr>
        <w:pStyle w:val="Bullet"/>
      </w:pPr>
      <w:r>
        <w:t xml:space="preserve">•  Indian Council for Enviro-Legal Action v. Union of India, (1996) 5 SCC 281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https://fpr.iura.in/concepts/coastal-regulation-zone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