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CN-0203 · Contract</w:t>
      </w:r>
    </w:p>
    <w:p>
      <w:pPr>
        <w:pStyle w:val="Title"/>
      </w:pPr>
      <w:r>
        <w:t xml:space="preserve">Coercion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Consent obtained by an act the penal law forbids or by unlawful detention of property, and how it differs from English duress.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15</w:t>
      </w:r>
    </w:p>
    <w:p>
      <w:pPr>
        <w:pStyle w:val="Bullet"/>
      </w:pPr>
      <w:r>
        <w:t xml:space="preserve">•  Chikkam Ammiraju v. Chikkam Seshamma, AIR 1918 Mad 414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https://fpr.iura.in/concepts/coercion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