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CN-0191 · Civil Procedure</w:t>
      </w:r>
    </w:p>
    <w:p>
      <w:pPr>
        <w:pStyle w:val="Title"/>
      </w:pPr>
      <w:r>
        <w:t xml:space="preserve">Commercial Dispute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disputes go to the commercial courts, and why property must be actually used in trade for a dispute about it to qualify.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Commercial Courts Act, 2015, § 2(1)(c)</w:t>
      </w:r>
    </w:p>
    <w:p>
      <w:pPr>
        <w:pStyle w:val="Bullet"/>
      </w:pPr>
      <w:r>
        <w:t xml:space="preserve">•  Ambalal Sarabhai Enterprises Ltd. v. K.S. Infraspace LLP, (2020) 15 SCC 585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https://fpr.iura.in/concepts/commercial-dispute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