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CN-0101 · Media</w:t>
      </w:r>
    </w:p>
    <w:p>
      <w:pPr>
        <w:pStyle w:val="Title"/>
      </w:pPr>
      <w:r>
        <w:t xml:space="preserve">Commercial Speech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advertising is protected speech, and how far the State may regulate it in the interest of consumers.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19(1)(a)</w:t>
      </w:r>
    </w:p>
    <w:p>
      <w:pPr>
        <w:pStyle w:val="Bullet"/>
      </w:pPr>
      <w:r>
        <w:t xml:space="preserve">•  Tata Press Ltd. v. MTNL, (1995) 5 SCC 139</w:t>
      </w:r>
    </w:p>
    <w:p>
      <w:pPr>
        <w:pStyle w:val="Bullet"/>
      </w:pPr>
      <w:r>
        <w:t xml:space="preserve">•  Hamdard Dawakhana v. Union of India, AIR 1960 SC 554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https://fpr.iura.in/concepts/commercial-speech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