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CN-0628 · Competition</w:t>
      </w:r>
    </w:p>
    <w:p>
      <w:pPr>
        <w:pStyle w:val="Title"/>
      </w:pPr>
      <w:r>
        <w:t xml:space="preserve">Commitments and Settlements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2023 routes by which a party under investigation may offer undertakings or settle without a finding.</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Competition Act, 2002, §§ 48A, 48B</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https://fpr.iura.in/concepts/commitments-and-settlements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