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CN-0016 · Criminal</w:t>
      </w:r>
    </w:p>
    <w:p>
      <w:pPr>
        <w:pStyle w:val="Title"/>
      </w:pPr>
      <w:r>
        <w:t xml:space="preserve">Common Intention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Joint liability for an act done by several in furtherance of a shared intention: prior concert, participation, and the line from common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Barendra Kumar Ghosh v. King-Emperor, AIR 1925 PC 1</w:t>
      </w:r>
    </w:p>
    <w:p>
      <w:pPr>
        <w:pStyle w:val="Bullet"/>
      </w:pPr>
      <w:r>
        <w:t xml:space="preserve">•  Mahbub Shah v. King-Emperor, AIR 1945 PC 118</w:t>
      </w:r>
    </w:p>
    <w:p>
      <w:pPr>
        <w:pStyle w:val="Bullet"/>
      </w:pPr>
      <w:r>
        <w:t xml:space="preserve">•  Indian Penal Code, 1860, § 34 (now Bharatiya Nyaya Sanhita, 2023, §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https://fpr.iura.in/concepts/common-intention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