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CN-0504 · Criminal</w:t>
      </w:r>
    </w:p>
    <w:p>
      <w:pPr>
        <w:pStyle w:val="Title"/>
      </w:pPr>
      <w:r>
        <w:t xml:space="preserve">Complaint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allegation made to a magistrate with a view to action, and the examination of the complainant that follows.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2(d), 200 (now Bharatiya Nagarik Suraksha Sanhita, 2023, §§ 2(1)(h), 223)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https://fpr.iura.in/concepts/complaint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