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CN-0234 · Tort</w:t>
      </w:r>
    </w:p>
    <w:p>
      <w:pPr>
        <w:pStyle w:val="Title"/>
      </w:pPr>
      <w:r>
        <w:t xml:space="preserve">Composite Negligence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Injury caused by the negligence of two or more wrongdoers, and why the victim need not apportion blame between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T.O. Anthony v. Karvarnan, (2008) 3 SCC 748</w:t>
      </w:r>
    </w:p>
    <w:p>
      <w:pPr>
        <w:pStyle w:val="Bullet"/>
      </w:pPr>
      <w:r>
        <w:t xml:space="preserve">•  Khenyei v. New India Assurance Co. Ltd., (2015) 9 SCC 273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https://fpr.iura.in/concepts/composite-negligence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