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CN-0149 · Criminal</w:t>
      </w:r>
    </w:p>
    <w:p>
      <w:pPr>
        <w:pStyle w:val="Title"/>
      </w:pPr>
      <w:r>
        <w:t xml:space="preserve">Compounding of Offences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Which offences the victim may settle, with or without the court’s leave, and the High Court’s power to quash the rest on a compromise.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320 (now Bharatiya Nagarik Suraksha Sanhita, 2023, § 359)</w:t>
      </w:r>
    </w:p>
    <w:p>
      <w:pPr>
        <w:pStyle w:val="Bullet"/>
      </w:pPr>
      <w:r>
        <w:t xml:space="preserve">•  Gian Singh v. State of Punjab, (2012) 10 SCC 303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https://fpr.iura.in/concepts/compounding-of-offences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