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CN-0164 · Evidence</w:t>
      </w:r>
    </w:p>
    <w:p>
      <w:pPr>
        <w:pStyle w:val="Title"/>
      </w:pPr>
      <w:r>
        <w:t xml:space="preserve">Confession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An admission of guilt by an accused, the bar on confessions to the police, and the difference between a confession and an admission.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24–30 (now Bharatiya Sakshya Adhiniyam, 2023, §§ 22–24)</w:t>
      </w:r>
    </w:p>
    <w:p>
      <w:pPr>
        <w:pStyle w:val="Bullet"/>
      </w:pPr>
      <w:r>
        <w:t xml:space="preserve">•  Pakala Narayana Swami v. King-Emperor, AIR 1939 PC 47</w:t>
      </w:r>
    </w:p>
    <w:p>
      <w:pPr>
        <w:pStyle w:val="Bullet"/>
      </w:pPr>
      <w:r>
        <w:t xml:space="preserve">•  Aghnoo Nagesia v. State of Bihar, AIR 1966 SC 119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https://fpr.iura.in/concepts/confession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