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CN-0367 · IP</w:t>
      </w:r>
    </w:p>
    <w:p>
      <w:pPr>
        <w:pStyle w:val="Title"/>
      </w:pPr>
      <w:r>
        <w:t xml:space="preserve">Confidential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Information protected in equity and by contract against misuse, and the three things a claimant must show.</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Richard Brady v. Chemical Process Equipments (P) Ltd., AIR 1987 Del 372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https://fpr.iura.in/concepts/confidential-information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