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CN-0020 · Contract</w:t>
      </w:r>
    </w:p>
    <w:p>
      <w:pPr>
        <w:pStyle w:val="Title"/>
      </w:pPr>
      <w:r>
        <w:t xml:space="preserve">Consideration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Indian definition and how it departs from English law: past consideration, consideration from a third party, and the exceptions in section 25.</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2(d), 25</w:t>
      </w:r>
    </w:p>
    <w:p>
      <w:pPr>
        <w:pStyle w:val="Bullet"/>
      </w:pPr>
      <w:r>
        <w:t xml:space="preserve">•  Chinnaya v. Ramayya, ILR (1882) 4 Mad 137</w:t>
      </w:r>
    </w:p>
    <w:p>
      <w:pPr>
        <w:pStyle w:val="Bullet"/>
      </w:pPr>
      <w:r>
        <w:t xml:space="preserve">•  Kedarnath Bhattacharji v. Gorie Mahomed, ILR (1886) 14 Cal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https://fpr.iura.in/concepts/consideration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