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CN-0400 · International (Public)</w:t>
      </w:r>
    </w:p>
    <w:p>
      <w:pPr>
        <w:pStyle w:val="Title"/>
      </w:pPr>
      <w:r>
        <w:t xml:space="preserve">Consular Access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detained foreigner’s right to have their consulate told and to communicate with it, and the remedy when it is denied.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Consular Relations, art. 36, Apr. 24, 1963, 596 U.N.T.S. 261</w:t>
      </w:r>
    </w:p>
    <w:p>
      <w:pPr>
        <w:pStyle w:val="Bullet"/>
      </w:pPr>
      <w:r>
        <w:t xml:space="preserve">•  Jadhav (India v. Pak.), Judgment, 2019 I.C.J. 418 (July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https://fpr.iura.in/concepts/consular-access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