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CN-0187 · Civil Procedure</w:t>
      </w:r>
    </w:p>
    <w:p>
      <w:pPr>
        <w:pStyle w:val="Title"/>
      </w:pPr>
      <w:r>
        <w:t xml:space="preserve">Continuing Wrong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wrong that gives rise to a fresh period of limitation every day it continues, and how it differs from a wrong whose effects continue.</w:t>
      </w:r>
    </w:p>
    <w:p>
      <w:pPr>
        <w:pStyle w:val="Guidance"/>
      </w:pPr>
      <w:r>
        <w:t xml:space="preserve">Authorities to start from. These are places to begin, listed by the editors. Read each one in the original and check the citation before you rely on it.</w:t>
      </w:r>
    </w:p>
    <w:p>
      <w:pPr>
        <w:pStyle w:val="Bullet"/>
      </w:pPr>
      <w:r>
        <w:t xml:space="preserve">•  Limitation Act, 1963, § 22</w:t>
      </w:r>
    </w:p>
    <w:p>
      <w:pPr>
        <w:pStyle w:val="Bullet"/>
      </w:pPr>
      <w:r>
        <w:t xml:space="preserve">•  Balakrishna Savalram Pujari Waghmare v. Shree Dnyaneshwar Maharaj Sansthan, AIR 1959 SC 798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https://fpr.iura.in/concepts/continuing-wrong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