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CN-0024 · Family</w:t>
      </w:r>
    </w:p>
    <w:p>
      <w:pPr>
        <w:pStyle w:val="Title"/>
      </w:pPr>
      <w:r>
        <w:t xml:space="preserve">Coparcenary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Mitakshara coparcenary: who is a member, the right by birth, survivorship, and the position of daughters after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6</w:t>
      </w:r>
    </w:p>
    <w:p>
      <w:pPr>
        <w:pStyle w:val="Bullet"/>
      </w:pPr>
      <w:r>
        <w:t xml:space="preserve">•  Vineeta Sharma v. Rakesh Sharma, (2020) 9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https://fpr.iura.in/concepts/coparcenary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