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CN-0282 · Corporate</w:t>
      </w:r>
    </w:p>
    <w:p>
      <w:pPr>
        <w:pStyle w:val="Title"/>
      </w:pPr>
      <w:r>
        <w:t xml:space="preserve">Corporate Social Responsibility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duty of larger companies to spend a share of profit on listed social activities, and what happens to unspent amounts.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Companies Act, 2013, § 135 and Schedule VII</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https://fpr.iura.in/concepts/corporate-social-responsibility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