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CN-0526 · Evidence</w:t>
      </w:r>
    </w:p>
    <w:p>
      <w:pPr>
        <w:pStyle w:val="Title"/>
      </w:pPr>
      <w:r>
        <w:t xml:space="preserve">Corroboration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Independent evidence that supports a witness, when the law or prudence requires it, and the use of a witness’s own earlier statements.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156, 157 (now Bharatiya Sakshya Adhiniyam, 2023, §§ 159, 160)</w:t>
      </w:r>
    </w:p>
    <w:p>
      <w:pPr>
        <w:pStyle w:val="Bullet"/>
      </w:pPr>
      <w:r>
        <w:t xml:space="preserve">•  Rameshwar v. State of Rajasthan, AIR 1952 SC 54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https://fpr.iura.in/concepts/corroboration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