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CN-0738 · International (Public)</w:t>
      </w:r>
    </w:p>
    <w:p>
      <w:pPr>
        <w:pStyle w:val="Title"/>
      </w:pPr>
      <w:r>
        <w:t xml:space="preserve">Countermeasures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Acts otherwise unlawful that an injured State may take to induce another to comply, and the limits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Int’l Law Comm’n, Articles on Responsibility of States for Internationally Wrongful Acts, arts. 49–54 (2001)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https://fpr.iura.in/concepts/countermeasures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