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CN-0446 · Constitutional</w:t>
      </w:r>
    </w:p>
    <w:p>
      <w:pPr>
        <w:pStyle w:val="Title"/>
      </w:pPr>
      <w:r>
        <w:t xml:space="preserve">Court of Record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status of the Supreme Court and High Courts as courts of record, and the power to punish for contempt that comes with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129, 215</w:t>
      </w:r>
    </w:p>
    <w:p>
      <w:pPr>
        <w:pStyle w:val="Bullet"/>
      </w:pPr>
      <w:r>
        <w:t xml:space="preserve">•  Delhi Judicial Service Assn. v. State of Gujarat, (1991) 4 SCC 406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https://fpr.iura.in/concepts/court-of-record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