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CN-0740 · International (Public)</w:t>
      </w:r>
    </w:p>
    <w:p>
      <w:pPr>
        <w:pStyle w:val="Title"/>
      </w:pPr>
      <w:r>
        <w:t xml:space="preserve">Crimes against Humanity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Murder, persecution and similar acts committed as part of a widespread or systematic attack on civilians.</w:t>
      </w:r>
    </w:p>
    <w:p>
      <w:pPr>
        <w:pStyle w:val="Guidance"/>
      </w:pPr>
      <w:r>
        <w:t xml:space="preserve">Authorities to start from. These are places to begin, listed by the editors. Read each one in the original and check the citation before you rely on it.</w:t>
      </w:r>
    </w:p>
    <w:p>
      <w:pPr>
        <w:pStyle w:val="Bullet"/>
      </w:pPr>
      <w:r>
        <w:t xml:space="preserve">•  Rome Statute of the International Criminal Court, art. 7, July 17, 1998, 2187 U.N.T.S. 90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https://fpr.iura.in/concepts/crimes-against-humanity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