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CN-0477 · Criminal</w:t>
      </w:r>
    </w:p>
    <w:p>
      <w:pPr>
        <w:pStyle w:val="Title"/>
      </w:pPr>
      <w:r>
        <w:t xml:space="preserve">Criminal Trespass and House-Breaking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Entry on property in another’s possession with intent to commit an offence or to intimidate, insult or annoy, and its aggravated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441, 445 (now Bharatiya Nyaya Sanhita, 2023, §§ 329, 330)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https://fpr.iura.in/concepts/criminal-trespass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