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CN-0067 · Jurisprudence</w:t>
      </w:r>
    </w:p>
    <w:p>
      <w:pPr>
        <w:pStyle w:val="Title"/>
      </w:pPr>
      <w:r>
        <w:t xml:space="preserve">Custom as a Source of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 long-followed usage has the force of law, how it is proved, and how it fares against statute and the Constitution.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13(3)(a)</w:t>
      </w:r>
    </w:p>
    <w:p>
      <w:pPr>
        <w:pStyle w:val="Bullet"/>
      </w:pPr>
      <w:r>
        <w:t xml:space="preserve">•  Hindu Marriage Act, 1955, § 3(a)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https://fpr.iura.in/concepts/custom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