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CN-0662 · Tax</w:t>
      </w:r>
    </w:p>
    <w:p>
      <w:pPr>
        <w:pStyle w:val="Title"/>
      </w:pPr>
      <w:r>
        <w:t xml:space="preserve">Customs Valuation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Transaction value as the basis of duty on imports and exports, and when the declared price may be rejected.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Customs Act, 1962, § 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https://fpr.iura.in/concepts/customs-valuation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