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CN-0457 · Constitutional</w:t>
      </w:r>
    </w:p>
    <w:p>
      <w:pPr>
        <w:pStyle w:val="Title"/>
      </w:pPr>
      <w:r>
        <w:t xml:space="preserve">Delimitation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redrawing of constituencies after a census, and the bar on courts questioning a delimitation order.</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82, 327, 329(a)</w:t>
      </w:r>
    </w:p>
    <w:p>
      <w:pPr>
        <w:pStyle w:val="Bullet"/>
      </w:pPr>
      <w:r>
        <w:t xml:space="preserve">•  Meghraj Kothari v. Delimitation Commission, AIR 1967 SC 669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https://fpr.iura.in/concepts/delimitation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