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CN-0364 · IP</w:t>
      </w:r>
    </w:p>
    <w:p>
      <w:pPr>
        <w:pStyle w:val="Title"/>
      </w:pPr>
      <w:r>
        <w:t xml:space="preserve">Design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Features of shape, pattern or ornament applied to an article and judged by the eye, and when a design is new or original.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Designs Act, 2000, § 2(d)</w:t>
      </w:r>
    </w:p>
    <w:p>
      <w:pPr>
        <w:pStyle w:val="Bullet"/>
      </w:pPr>
      <w:r>
        <w:t xml:space="preserve">•  Bharat Glass Tube Ltd. v. Gopal Glass Works Ltd., (2008) 10 SCC 657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https://fpr.iura.in/concepts/design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