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CN-0399 · International (Public)</w:t>
      </w:r>
    </w:p>
    <w:p>
      <w:pPr>
        <w:pStyle w:val="Title"/>
      </w:pPr>
      <w:r>
        <w:t xml:space="preserve">Diplomatic Immunity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immunity of diplomats and mission premises from local jurisdiction, its purpose, and how it is waived.</w:t>
      </w:r>
    </w:p>
    <w:p>
      <w:pPr>
        <w:pStyle w:val="Guidance"/>
      </w:pPr>
      <w:r>
        <w:t xml:space="preserve">Authorities to start from. These are places to begin, listed by the editors. Read each one in the original and check the citation before you rely on it.</w:t>
      </w:r>
    </w:p>
    <w:p>
      <w:pPr>
        <w:pStyle w:val="Bullet"/>
      </w:pPr>
      <w:r>
        <w:t xml:space="preserve">•  Vienna Convention on Diplomatic Relations, Apr. 18, 1961, 500 U.N.T.S. 95</w:t>
      </w:r>
    </w:p>
    <w:p>
      <w:pPr>
        <w:pStyle w:val="Bullet"/>
      </w:pPr>
      <w:r>
        <w:t xml:space="preserve">•  Diplomatic Relations (Vienna Convention) Act, 1972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https://fpr.iura.in/concepts/diplomatic-immunity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