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CN-0073 · Constitutional</w:t>
      </w:r>
    </w:p>
    <w:p>
      <w:pPr>
        <w:pStyle w:val="Title"/>
      </w:pPr>
      <w:r>
        <w:t xml:space="preserve">Directive Principles of State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Goals the State must apply in making law though no court may enforce them, and how they are balanced against fundamental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36–51</w:t>
      </w:r>
    </w:p>
    <w:p>
      <w:pPr>
        <w:pStyle w:val="Bullet"/>
      </w:pPr>
      <w:r>
        <w:t xml:space="preserve">•  Minerva Mills Ltd. v. Union of India, (1980) 3 SCC 625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https://fpr.iura.in/concepts/directive-principles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