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CN-0492 · Criminal</w:t>
      </w:r>
    </w:p>
    <w:p>
      <w:pPr>
        <w:pStyle w:val="Title"/>
      </w:pPr>
      <w:r>
        <w:t xml:space="preserve">Dishonestly and Fraudulently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states of mind the Code defines separately: intent to cause wrongful gain or loss, and intent to defraud.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24, 25 (now Bharatiya Nyaya Sanhita, 2023, § 2(7), (9))</w:t>
      </w:r>
    </w:p>
    <w:p>
      <w:pPr>
        <w:pStyle w:val="Bullet"/>
      </w:pPr>
      <w:r>
        <w:t xml:space="preserve">•  Dr. Vimla v. Delhi Administration, AIR 1963 SC 1572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https://fpr.iura.in/concepts/dishonestly-and-fraudulently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