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CN-0498 · Criminal</w:t>
      </w:r>
    </w:p>
    <w:p>
      <w:pPr>
        <w:pStyle w:val="Title"/>
      </w:pPr>
      <w:r>
        <w:t xml:space="preserve">Disproportionate Assets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 of a public servant holding property beyond known sources of income, and the burden of accounting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Prevention of Corruption Act, 1988, § 13(1)(b)</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https://fpr.iura.in/concepts/disproportionate-assets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