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CN-0115 · Constitutional</w:t>
      </w:r>
    </w:p>
    <w:p>
      <w:pPr>
        <w:pStyle w:val="Title"/>
      </w:pPr>
      <w:r>
        <w:t xml:space="preserve">Disqualification on Conviction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a criminal conviction unseats a legislator or bars a candidate, and why the three-month grace period was struck down.</w:t>
      </w:r>
    </w:p>
    <w:p>
      <w:pPr>
        <w:pStyle w:val="Guidance"/>
      </w:pPr>
      <w:r>
        <w:t xml:space="preserve">Authorities to start from. These are places to begin, listed by the editors. Read each one in the original and check the citation before you rely on it.</w:t>
      </w:r>
    </w:p>
    <w:p>
      <w:pPr>
        <w:pStyle w:val="Bullet"/>
      </w:pPr>
      <w:r>
        <w:t xml:space="preserve">•  Representation of the People Act, 1951, § 8</w:t>
      </w:r>
    </w:p>
    <w:p>
      <w:pPr>
        <w:pStyle w:val="Bullet"/>
      </w:pPr>
      <w:r>
        <w:t xml:space="preserve">•  Lily Thomas v. Union of India, (2013) 7 SCC 653</w:t>
      </w:r>
    </w:p>
    <w:p>
      <w:pPr>
        <w:pStyle w:val="Bullet"/>
      </w:pPr>
      <w:r>
        <w:t xml:space="preserve">•  Public Interest Foundation v. Union of India, (2019) 3 SCC 224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https://fpr.iura.in/concepts/disqualification-on-conviction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