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CN-0354 · IP</w:t>
      </w:r>
    </w:p>
    <w:p>
      <w:pPr>
        <w:pStyle w:val="Title"/>
      </w:pPr>
      <w:r>
        <w:t xml:space="preserve">Distinctiveness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capacity of a mark to tell one trader’s goods from another’s, and how a descriptive word can acquire it through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2(1)(zb), 9</w:t>
      </w:r>
    </w:p>
    <w:p>
      <w:pPr>
        <w:pStyle w:val="Bullet"/>
      </w:pPr>
      <w:r>
        <w:t xml:space="preserve">•  Godfrey Philips India Ltd. v. Girnar Food &amp; Beverages (P) Ltd., (2004) 5 SCC 257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https://fpr.iura.in/concepts/distinctiveness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