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CN-0266 · Family</w:t>
      </w:r>
    </w:p>
    <w:p>
      <w:pPr>
        <w:pStyle w:val="Title"/>
      </w:pPr>
      <w:r>
        <w:t xml:space="preserve">Domestic Relationship</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relationships within which the 2005 Act applies, including those “in the nature of marriage”.</w:t>
      </w:r>
    </w:p>
    <w:p>
      <w:pPr>
        <w:pStyle w:val="Guidance"/>
      </w:pPr>
      <w:r>
        <w:t xml:space="preserve">Authorities to start from. These are places to begin, listed by the editors. Read each one in the original and check the citation before you rely on it.</w:t>
      </w:r>
    </w:p>
    <w:p>
      <w:pPr>
        <w:pStyle w:val="Bullet"/>
      </w:pPr>
      <w:r>
        <w:t xml:space="preserve">•  Protection of Women from Domestic Violence Act, 2005, § 2(f)</w:t>
      </w:r>
    </w:p>
    <w:p>
      <w:pPr>
        <w:pStyle w:val="Bullet"/>
      </w:pPr>
      <w:r>
        <w:t xml:space="preserve">•  Indra Sarma v. V.K.V. Sarma, (2013) 15 SCC 755</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https://fpr.iura.in/concepts/domestic-relationship</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