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CN-0139 · Criminal</w:t>
      </w:r>
    </w:p>
    <w:p>
      <w:pPr>
        <w:pStyle w:val="Title"/>
      </w:pPr>
      <w:r>
        <w:t xml:space="preserve">Dowry Death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death of a woman within seven years of marriage after cruelty for dowry, and what “soon before her death” requires.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304B (now Bharatiya Nyaya Sanhita, 2023, § 80)</w:t>
      </w:r>
    </w:p>
    <w:p>
      <w:pPr>
        <w:pStyle w:val="Bullet"/>
      </w:pPr>
      <w:r>
        <w:t xml:space="preserve">•  Kans Raj v. State of Punjab, (2000) 5 SCC 207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https://fpr.iura.in/concepts/dowry-death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