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CN-0140 · Family</w:t>
      </w:r>
    </w:p>
    <w:p>
      <w:pPr>
        <w:pStyle w:val="Title"/>
      </w:pPr>
      <w:r>
        <w:t xml:space="preserve">Dowry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What the law treats as dowry, how customary gifts and later demands fit the definition, and whose property it is once given.</w:t>
      </w:r>
    </w:p>
    <w:p>
      <w:pPr>
        <w:pStyle w:val="Guidance"/>
      </w:pPr>
      <w:r>
        <w:t xml:space="preserve">Authorities to start from. These are places to begin, listed by the editors. Read each one in the original and check the citation before you rely on it.</w:t>
      </w:r>
    </w:p>
    <w:p>
      <w:pPr>
        <w:pStyle w:val="Bullet"/>
      </w:pPr>
      <w:r>
        <w:t xml:space="preserve">•  Dowry Prohibition Act, 1961, §§ 2, 6</w:t>
      </w:r>
    </w:p>
    <w:p>
      <w:pPr>
        <w:pStyle w:val="Bullet"/>
      </w:pPr>
      <w:r>
        <w:t xml:space="preserve">•  Pratibha Rani v. Suraj Kumar, (1985) 2 SCC 370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https://fpr.iura.in/concepts/dowry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