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CN-0022 · Tort</w:t>
      </w:r>
    </w:p>
    <w:p>
      <w:pPr>
        <w:pStyle w:val="Title"/>
      </w:pPr>
      <w:r>
        <w:t xml:space="preserve">Duty of Care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When the law requires one person to take care for another. The neighbour principle and its reception in Indian courts.</w:t>
      </w:r>
    </w:p>
    <w:p>
      <w:pPr>
        <w:pStyle w:val="Guidance"/>
      </w:pPr>
      <w:r>
        <w:t xml:space="preserve">Authorities to start from. These are places to begin, listed by the editors. Read each one in the original and check the citation before you rely on it.</w:t>
      </w:r>
    </w:p>
    <w:p>
      <w:pPr>
        <w:pStyle w:val="Bullet"/>
      </w:pPr>
      <w:r>
        <w:t xml:space="preserve">•  Donoghue v. Stevenson, [1932] AC 562</w:t>
      </w:r>
    </w:p>
    <w:p>
      <w:pPr>
        <w:pStyle w:val="Bullet"/>
      </w:pPr>
      <w:r>
        <w:t xml:space="preserve">•  Jacob Mathew v. State of Punjab, (2005) 6 SCC 1</w:t>
      </w:r>
    </w:p>
    <w:p>
      <w:pPr>
        <w:pStyle w:val="Bullet"/>
      </w:pPr>
      <w:r>
        <w:t xml:space="preserve">•  Rajkot Municipal Corpn. v. Manjulben Jayantilal Nakum, (1997) 9 SCC 552</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https://fpr.iura.in/concepts/duty-of-care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