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CN-0228 · Contract</w:t>
      </w:r>
    </w:p>
    <w:p>
      <w:pPr>
        <w:pStyle w:val="Title"/>
      </w:pPr>
      <w:r>
        <w:t xml:space="preserve">Earnest Money</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Money paid to bind a bargain, when the seller may forfeit it, and how it differs from an advance.</w:t>
      </w:r>
    </w:p>
    <w:p>
      <w:pPr>
        <w:pStyle w:val="Guidance"/>
      </w:pPr>
      <w:r>
        <w:t xml:space="preserve">Authorities to start from. These are places to begin, listed by the editors. Read each one in the original and check the citation before you rely on it.</w:t>
      </w:r>
    </w:p>
    <w:p>
      <w:pPr>
        <w:pStyle w:val="Bullet"/>
      </w:pPr>
      <w:r>
        <w:t xml:space="preserve">•  Satish Batra v. Sudhir Rawal, (2013) 1 SCC 345</w:t>
      </w:r>
    </w:p>
    <w:p>
      <w:pPr>
        <w:pStyle w:val="Bullet"/>
      </w:pPr>
      <w:r>
        <w:t xml:space="preserve">•  Kailash Nath Associates v. DDA, (2015) 4 SCC 136</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https://fpr.iura.in/concepts/earnest-money</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