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CN-0059 · Property</w:t>
      </w:r>
    </w:p>
    <w:p>
      <w:pPr>
        <w:pStyle w:val="Title"/>
      </w:pPr>
      <w:r>
        <w:t xml:space="preserve">Easement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right over another’s land for the beneficial enjoyment of one’s own: how it is acquired, by grant, necessity or prescription, and how it ends.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Easements Act, 1882, §§ 4, 13, 15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https://fpr.iura.in/concepts/easement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