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CN-0220 · Tech &amp; Data</w:t>
      </w:r>
    </w:p>
    <w:p>
      <w:pPr>
        <w:pStyle w:val="Title"/>
      </w:pPr>
      <w:r>
        <w:t xml:space="preserve">Electronic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Contracts formed by electronic means, their validity under the 2000 Act, and when an exchange of emails is a concluded bargain.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10A</w:t>
      </w:r>
    </w:p>
    <w:p>
      <w:pPr>
        <w:pStyle w:val="Bullet"/>
      </w:pPr>
      <w:r>
        <w:t xml:space="preserve">•  Trimex International FZE Ltd. v. Vedanta Aluminium Ltd., (2010) 3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https://fpr.iura.in/concepts/electronic-contract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