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CN-0391 · Arbitration</w:t>
      </w:r>
    </w:p>
    <w:p>
      <w:pPr>
        <w:pStyle w:val="Title"/>
      </w:pPr>
      <w:r>
        <w:t xml:space="preserve">Emergency Arbitrator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arbitrator appointed under institutional rules to grant urgent relief before the tribunal is formed, and the force of the order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Amazon.com NV Investment Holdings LLC v. Future Retail Ltd., (2022) 1 SCC 209</w:t>
      </w:r>
    </w:p>
    <w:p>
      <w:pPr>
        <w:pStyle w:val="Bullet"/>
      </w:pPr>
      <w:r>
        <w:t xml:space="preserve">•  Arbitration and Conciliation Act, 1996, § 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https://fpr.iura.in/concepts/emergency-arbitrator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