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CN-0644 · Banking</w:t>
      </w:r>
    </w:p>
    <w:p>
      <w:pPr>
        <w:pStyle w:val="Title"/>
      </w:pPr>
      <w:r>
        <w:t xml:space="preserve">Endorsement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Signing a negotiable instrument to transfer it, and the kinds of endorsement the Act recognises.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Negotiable Instruments Act, 1881, §§ 15, 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https://fpr.iura.in/concepts/endorsement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